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D23" w:rsidRDefault="00402D23" w:rsidP="00402D23">
      <w:pPr>
        <w:widowControl w:val="0"/>
        <w:tabs>
          <w:tab w:val="center" w:pos="455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02D23">
        <w:rPr>
          <w:rFonts w:ascii="Times New Roman" w:hAnsi="Times New Roman" w:cs="Times New Roman"/>
          <w:sz w:val="21"/>
          <w:szCs w:val="21"/>
        </w:rPr>
        <w:t xml:space="preserve">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EDITAL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1º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2º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LEILÃO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INTIMAÇÃO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ALIENAÇÃO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JUDICIAL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(CONFORME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LEI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Nº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>13.105/2015)</w:t>
      </w:r>
      <w:r w:rsidRPr="00402D23">
        <w:rPr>
          <w:rFonts w:ascii="Times New Roman" w:hAnsi="Times New Roman" w:cs="Times New Roman"/>
          <w:sz w:val="21"/>
          <w:szCs w:val="21"/>
        </w:rPr>
        <w:t xml:space="preserve">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PROCESSO: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0003478-05.2016.813.0879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-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JUIZADO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ESPECIAL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DE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CARMÓPOLIS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DE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>MINAS</w:t>
      </w:r>
      <w:r w:rsidRPr="00402D23">
        <w:rPr>
          <w:rFonts w:ascii="Times New Roman" w:hAnsi="Times New Roman" w:cs="Times New Roman"/>
          <w:sz w:val="21"/>
          <w:szCs w:val="21"/>
        </w:rPr>
        <w:t xml:space="preserve">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Requerente: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DAIR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EVANGELISTA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DA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>SILVA.</w:t>
      </w:r>
      <w:r w:rsidRPr="00402D23">
        <w:rPr>
          <w:rFonts w:ascii="Times New Roman" w:hAnsi="Times New Roman" w:cs="Times New Roman"/>
          <w:sz w:val="21"/>
          <w:szCs w:val="21"/>
        </w:rPr>
        <w:t xml:space="preserve">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Requerido: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CELSO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ANTONIO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LEMES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DA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>SILVA.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F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ERNANDO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CAETANO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MOREIRA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FILHO,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JUCEMG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445,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Leiloeiro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Público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Oficial,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nomeado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pelo </w:t>
      </w:r>
      <w:proofErr w:type="spellStart"/>
      <w:r w:rsidRPr="00402D23">
        <w:rPr>
          <w:rFonts w:ascii="Times New Roman" w:hAnsi="Times New Roman" w:cs="Times New Roman"/>
          <w:color w:val="000000"/>
          <w:sz w:val="21"/>
          <w:szCs w:val="21"/>
        </w:rPr>
        <w:t>M.</w:t>
      </w:r>
      <w:proofErr w:type="gramStart"/>
      <w:r w:rsidRPr="00402D23">
        <w:rPr>
          <w:rFonts w:ascii="Times New Roman" w:hAnsi="Times New Roman" w:cs="Times New Roman"/>
          <w:color w:val="000000"/>
          <w:sz w:val="21"/>
          <w:szCs w:val="21"/>
        </w:rPr>
        <w:t>M.Juiz</w:t>
      </w:r>
      <w:proofErr w:type="spellEnd"/>
      <w:proofErr w:type="gramEnd"/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desta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Comarca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faz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ciência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interessados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principalmente,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executados/devedores,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que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processo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indicado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venderá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bens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discriminados,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pelo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maior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l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ance,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LEILÃO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PÚBLICO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realizado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meio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eletrônico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(online).</w:t>
      </w:r>
      <w:r w:rsidRPr="00402D23">
        <w:rPr>
          <w:rFonts w:ascii="Times New Roman" w:hAnsi="Times New Roman" w:cs="Times New Roman"/>
          <w:sz w:val="21"/>
          <w:szCs w:val="21"/>
        </w:rPr>
        <w:t xml:space="preserve">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Em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1º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leilão,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no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dia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02/05/2024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às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10:00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e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em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2º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leilão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02/05/2024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às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10:15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ambas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realizadas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através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da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plataforma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eletrônica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>www.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>mgl.com.br</w:t>
      </w:r>
      <w:r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gramStart"/>
      <w:r w:rsidRPr="00402D23">
        <w:rPr>
          <w:rFonts w:ascii="Times New Roman" w:hAnsi="Times New Roman" w:cs="Times New Roman"/>
          <w:color w:val="000000"/>
          <w:sz w:val="21"/>
          <w:szCs w:val="21"/>
        </w:rPr>
        <w:t>Em</w:t>
      </w:r>
      <w:proofErr w:type="gramEnd"/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primeiro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leilão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bens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poderão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vendidos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valor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inferior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avaliação.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Caso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bem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seja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arrematado,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primeiro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leilão,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valor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igual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ou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superior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valor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avaliação,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será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realizado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segundo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leilão,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data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indicada,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quando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serão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aceitos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l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ances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valor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inferior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avaliação,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desprezando-se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preço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vil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(conforme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art.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891,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parágrafo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único,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Lei13.105/2015).</w:t>
      </w:r>
      <w:r w:rsidRPr="00402D23">
        <w:rPr>
          <w:rFonts w:ascii="Times New Roman" w:hAnsi="Times New Roman" w:cs="Times New Roman"/>
          <w:sz w:val="21"/>
          <w:szCs w:val="21"/>
        </w:rPr>
        <w:t xml:space="preserve">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Se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não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houver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expediente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forense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na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data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designada,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leilão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será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realizado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no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primeiro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dia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útil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subsequente,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no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mesmo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>ho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rário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>local.</w:t>
      </w:r>
      <w:r w:rsidRPr="00402D23">
        <w:rPr>
          <w:rFonts w:ascii="Times New Roman" w:hAnsi="Times New Roman" w:cs="Times New Roman"/>
          <w:sz w:val="21"/>
          <w:szCs w:val="21"/>
        </w:rPr>
        <w:t xml:space="preserve">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Leilão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será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realizado </w:t>
      </w:r>
      <w:proofErr w:type="gramStart"/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>na(</w:t>
      </w:r>
      <w:proofErr w:type="gramEnd"/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s)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data(s)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acima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mencionada(s).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Não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havendo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licitantes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na(s)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>da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ta(s)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indicada(s)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fica </w:t>
      </w:r>
      <w:proofErr w:type="spellStart"/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>redesignado</w:t>
      </w:r>
      <w:proofErr w:type="spellEnd"/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leilão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para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as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seguintes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datas,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forma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(online)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08/05/2024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10:00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10:15;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15/05/2024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10:00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10:15;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22/05/2024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10:00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10:15;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>29/05/2024</w:t>
      </w:r>
      <w:r w:rsidRPr="00402D23">
        <w:rPr>
          <w:rFonts w:ascii="Times New Roman" w:hAnsi="Times New Roman" w:cs="Times New Roman"/>
          <w:sz w:val="21"/>
          <w:szCs w:val="21"/>
        </w:rPr>
        <w:t xml:space="preserve">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10:00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10:15;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05/06/2024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10:00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10:15;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12/06/2024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10:00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10:15;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19/06/2024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>10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:00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10:15;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26/06/2024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10:00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10:15;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03/07/2024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10:00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10:15;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10/07/2024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10:00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10:15;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17/07/2024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10:00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10:15;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24/07/2024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10:00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10:15;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31/07/2024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10:00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10:15;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07/08/2024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10:00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10:15;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14/08/2024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10:00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10:15;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21/08/2024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10:00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10:15;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28/08/2024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10:00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10:15;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04/09/2024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10:00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10:15;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11/09/2024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10:00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10:15;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18/09/2024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10:00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10:15;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25/09/2024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10:00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10:15;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02/10/2024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10:00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10:15;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09/10/2024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>10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:00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10:15;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16/10/2024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10:00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10:15;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através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da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plataforma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eletrônica 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>www.mgl.com.br</w:t>
      </w:r>
      <w:r>
        <w:rPr>
          <w:rFonts w:ascii="Times New Roman" w:hAnsi="Times New Roman" w:cs="Times New Roman"/>
          <w:color w:val="000000"/>
          <w:sz w:val="21"/>
          <w:szCs w:val="21"/>
          <w:u w:val="single"/>
        </w:rPr>
        <w:t>.</w:t>
      </w:r>
      <w:r w:rsidRPr="00402D23">
        <w:rPr>
          <w:rFonts w:ascii="Times New Roman" w:hAnsi="Times New Roman" w:cs="Times New Roman"/>
          <w:color w:val="000000"/>
          <w:sz w:val="21"/>
          <w:szCs w:val="21"/>
          <w:u w:val="single"/>
        </w:rPr>
        <w:t xml:space="preserve"> </w:t>
      </w:r>
      <w:proofErr w:type="gramStart"/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>Bem(</w:t>
      </w:r>
      <w:proofErr w:type="spellStart"/>
      <w:proofErr w:type="gramEnd"/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>ns</w:t>
      </w:r>
      <w:proofErr w:type="spellEnd"/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>)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Um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veículo </w:t>
      </w:r>
      <w:proofErr w:type="spellStart"/>
      <w:r w:rsidRPr="00402D23">
        <w:rPr>
          <w:rFonts w:ascii="Times New Roman" w:hAnsi="Times New Roman" w:cs="Times New Roman"/>
          <w:color w:val="000000"/>
          <w:sz w:val="21"/>
          <w:szCs w:val="21"/>
        </w:rPr>
        <w:t>Citroen</w:t>
      </w:r>
      <w:proofErr w:type="spellEnd"/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C3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GLX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14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Flex,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ano/modelo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20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11/2012,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preta,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flex. </w:t>
      </w:r>
      <w:r w:rsidRPr="00402D23">
        <w:rPr>
          <w:rFonts w:ascii="Times New Roman" w:hAnsi="Times New Roman" w:cs="Times New Roman"/>
          <w:b/>
          <w:color w:val="000000"/>
          <w:sz w:val="21"/>
          <w:szCs w:val="21"/>
        </w:rPr>
        <w:t>ÔNUS: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Alienação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fiduciária.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Taxas,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impostos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multas,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somam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um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montante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R$2.274,38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(dois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mil,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duzentos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setenta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quatro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reais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trinta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oito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centavos).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Consulta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débitos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realizada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12/03/2024 </w:t>
      </w:r>
      <w:r w:rsidRPr="00402D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Lance </w:t>
      </w:r>
      <w:r w:rsidRPr="00402D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mínimo </w:t>
      </w:r>
      <w:r w:rsidRPr="00402D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em </w:t>
      </w:r>
      <w:r w:rsidRPr="00402D23">
        <w:rPr>
          <w:rFonts w:ascii="Times New Roman" w:hAnsi="Times New Roman" w:cs="Times New Roman"/>
          <w:b/>
          <w:color w:val="000000"/>
          <w:sz w:val="21"/>
          <w:szCs w:val="21"/>
        </w:rPr>
        <w:t>primeir</w:t>
      </w:r>
      <w:r w:rsidRPr="00402D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leilão </w:t>
      </w:r>
      <w:r w:rsidRPr="00402D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100% </w:t>
      </w:r>
      <w:r w:rsidRPr="00402D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da </w:t>
      </w:r>
      <w:r w:rsidRPr="00402D23">
        <w:rPr>
          <w:rFonts w:ascii="Times New Roman" w:hAnsi="Times New Roman" w:cs="Times New Roman"/>
          <w:b/>
          <w:color w:val="000000"/>
          <w:sz w:val="21"/>
          <w:szCs w:val="21"/>
        </w:rPr>
        <w:t>avaliação: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R$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26.461,00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(Vinte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seis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mil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quatrocentos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sessenta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um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reais); </w:t>
      </w:r>
      <w:r w:rsidRPr="00402D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Lance </w:t>
      </w:r>
      <w:r w:rsidRPr="00402D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mínimo </w:t>
      </w:r>
      <w:r w:rsidRPr="00402D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em </w:t>
      </w:r>
      <w:r w:rsidRPr="00402D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segundo </w:t>
      </w:r>
      <w:r w:rsidRPr="00402D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leilão </w:t>
      </w:r>
      <w:r w:rsidRPr="00402D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100% </w:t>
      </w:r>
      <w:r w:rsidRPr="00402D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da </w:t>
      </w:r>
      <w:r w:rsidRPr="00402D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avaliação: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R$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26.461,00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(Vinte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seis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mil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quatrocentos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sessenta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um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reais); </w:t>
      </w:r>
      <w:r w:rsidRPr="00402D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ENDEREÇO </w:t>
      </w:r>
      <w:r w:rsidRPr="00402D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b/>
          <w:color w:val="000000"/>
          <w:sz w:val="21"/>
          <w:szCs w:val="21"/>
        </w:rPr>
        <w:t>VISITAÇÃO: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Rua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Doutor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Francisco </w:t>
      </w:r>
      <w:proofErr w:type="spellStart"/>
      <w:r w:rsidRPr="00402D23">
        <w:rPr>
          <w:rFonts w:ascii="Times New Roman" w:hAnsi="Times New Roman" w:cs="Times New Roman"/>
          <w:color w:val="000000"/>
          <w:sz w:val="21"/>
          <w:szCs w:val="21"/>
        </w:rPr>
        <w:t>Paonelli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1140</w:t>
      </w:r>
      <w:r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Santo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Antônio</w:t>
      </w:r>
      <w:r>
        <w:rPr>
          <w:rFonts w:ascii="Times New Roman" w:hAnsi="Times New Roman" w:cs="Times New Roman"/>
          <w:color w:val="000000"/>
          <w:sz w:val="21"/>
          <w:szCs w:val="21"/>
        </w:rPr>
        <w:t>,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Carmópolis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Minas</w:t>
      </w:r>
      <w:r>
        <w:rPr>
          <w:rFonts w:ascii="Times New Roman" w:hAnsi="Times New Roman" w:cs="Times New Roman"/>
          <w:color w:val="000000"/>
          <w:sz w:val="21"/>
          <w:szCs w:val="21"/>
        </w:rPr>
        <w:t>/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MG</w:t>
      </w:r>
      <w:r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gramStart"/>
      <w:r w:rsidRPr="00402D23">
        <w:rPr>
          <w:rFonts w:ascii="Times New Roman" w:hAnsi="Times New Roman" w:cs="Times New Roman"/>
          <w:b/>
          <w:color w:val="000000"/>
          <w:sz w:val="21"/>
          <w:szCs w:val="21"/>
        </w:rPr>
        <w:t>Depositário(</w:t>
      </w:r>
      <w:proofErr w:type="gramEnd"/>
      <w:r w:rsidRPr="00402D23">
        <w:rPr>
          <w:rFonts w:ascii="Times New Roman" w:hAnsi="Times New Roman" w:cs="Times New Roman"/>
          <w:b/>
          <w:color w:val="000000"/>
          <w:sz w:val="21"/>
          <w:szCs w:val="21"/>
        </w:rPr>
        <w:t>a)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HÁ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INFORMAÇÕES</w:t>
      </w:r>
      <w:r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402D23">
        <w:rPr>
          <w:rFonts w:ascii="Times New Roman" w:hAnsi="Times New Roman" w:cs="Times New Roman"/>
          <w:sz w:val="21"/>
          <w:szCs w:val="21"/>
        </w:rPr>
        <w:t xml:space="preserve">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FORMAS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E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CONDIÇÕES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 xml:space="preserve">DE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  <w:u w:val="single"/>
        </w:rPr>
        <w:t>PAGAMENTO:</w:t>
      </w:r>
      <w:r w:rsidRPr="00402D23">
        <w:rPr>
          <w:rFonts w:ascii="Times New Roman" w:hAnsi="Times New Roman" w:cs="Times New Roman"/>
          <w:sz w:val="21"/>
          <w:szCs w:val="21"/>
        </w:rPr>
        <w:t xml:space="preserve">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Será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sempre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considerado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vencedor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maior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lance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ofertado,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observado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lance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independente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forma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ou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condição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pagamento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que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venha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optar.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proposta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pagamento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lance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à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vista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sempre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prevalecerá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sobre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proposta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pagamento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parcelado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desde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que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lance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seja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mesmo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valor. </w:t>
      </w:r>
      <w:proofErr w:type="gramStart"/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A)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À</w:t>
      </w:r>
      <w:proofErr w:type="gramEnd"/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vista: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optar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pelo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pagamento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à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vista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valor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lance,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deverá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efetuar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mediante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depósito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judicial,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prazo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1(um)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dia,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contado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data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leilão,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pagamento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integralidade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valor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lan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ce.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Alternativamente,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poderá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pagar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25%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(vinte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cinco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cento)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valor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arrematação,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devendo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quitar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valor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remanescente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prazo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máximo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15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dias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através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depósito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judicial.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Deixando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depositar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valor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remanescente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n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prazo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15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dias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será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imposta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penalidade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prevista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art.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897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Lei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13.105/2015,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prejuízo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demais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penalidades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previstas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lei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ou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presente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edital. </w:t>
      </w:r>
      <w:proofErr w:type="gramStart"/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B)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Parcelado</w:t>
      </w:r>
      <w:proofErr w:type="gramEnd"/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: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optar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pelo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pagamento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parcelado,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deverá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pagar,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mediante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depósi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to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judicial,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pelo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menos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25%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(vinte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cinco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cento)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valor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lance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à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vista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restante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parcelado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até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06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(seis)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parcelas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Eventuais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pedidos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parcelamento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diverso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constante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edital,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poderão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levados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apreciação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juízo.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caso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atras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pagamento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qualquer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prestações,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incidirá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multa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10%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(dez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cento)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sobre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soma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parcela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inadimplida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parcelas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vincendas.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valor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parcelas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deverá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atualizado,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mensalmente,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desde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data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arrematação,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conforme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tabela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atual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ização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monetária.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caso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arrematação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pagamento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parcelado,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juízo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poderá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condicionar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entrega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bem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à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quitação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todas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parcelas.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hipótese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inadimplemento,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exequente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poderá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optar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pela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resolução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arrematação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ou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promover,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face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ar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rematante,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execução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valor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devido.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Caso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seja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pleiteada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resolução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arrematação,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arrematante,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prejuízo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demais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sanções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previstas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lei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e/ou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neste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edital,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assim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como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prejuízo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apuração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eventuais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perdas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danos,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perderá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sinal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n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egócio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já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pago.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Caso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seja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pleiteada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execução,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todas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parcelas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vincendas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vencerão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antecipadamente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à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data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parcela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inadimplida,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incidindo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sobre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montante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devido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multa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prevista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art.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895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§4º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Lei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13.105/2015,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além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demais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sanções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eventual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mente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previstas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neste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edital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e/ou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legislação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vigor,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arcando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lastRenderedPageBreak/>
        <w:t xml:space="preserve">arrematante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inadimplente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custas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processuais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honorários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advocatícios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decorrentes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execução,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tudo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isso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prejuízo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apuração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eventuais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perdas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danos. </w:t>
      </w:r>
      <w:r w:rsidRPr="00402D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COMISSÃO </w:t>
      </w:r>
      <w:r w:rsidRPr="00402D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b/>
          <w:color w:val="000000"/>
          <w:sz w:val="21"/>
          <w:szCs w:val="21"/>
        </w:rPr>
        <w:t>LEILOEIR</w:t>
      </w:r>
      <w:r w:rsidRPr="00402D23">
        <w:rPr>
          <w:rFonts w:ascii="Times New Roman" w:hAnsi="Times New Roman" w:cs="Times New Roman"/>
          <w:b/>
          <w:color w:val="000000"/>
          <w:sz w:val="21"/>
          <w:szCs w:val="21"/>
        </w:rPr>
        <w:t>O: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caso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arrematação, </w:t>
      </w:r>
      <w:r>
        <w:rPr>
          <w:rFonts w:ascii="Times New Roman" w:hAnsi="Times New Roman" w:cs="Times New Roman"/>
          <w:color w:val="000000"/>
          <w:sz w:val="21"/>
          <w:szCs w:val="21"/>
        </w:rPr>
        <w:t>3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%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sobre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valor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arrematação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deverá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paga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pelo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título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comissão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leiloeiro.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caso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adjudicação,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remição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ou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acordo,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posteriores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leilão,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será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comissão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Fixada em 1% 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constante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Certidão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Auto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Arrematação,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paga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pelo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adjudicante,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remido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ou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pelo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executado,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conforme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caso.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comissão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deverá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integralmente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paga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ato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arrematação,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adjudicação,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remição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ou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acordo.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Efetuados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pagamen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tos,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prazo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01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(um)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dia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deverá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enviar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comprovantes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para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leiloeiro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via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e-mail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leiloesmg@leiloesmg.com.br,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ou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qualquer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outro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meio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hábil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inequívoco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para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que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leiloeiro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possa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fazer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juntada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comprovantes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autos.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arremataç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mediante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lance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online,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auto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arrematação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será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assinado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pelo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Exmo.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Juiz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após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comprovação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efetiva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pagamento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integral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valor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arrematação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ou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entrada/sinal,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for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caso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taxa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comissão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leiloeiro,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ficando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dispensada,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nesta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hipóte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assinatura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referido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auto.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Caso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arrematação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seja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efetuada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mediante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pagamento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parcelado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parte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valor,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ficando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bem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como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garantia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pagamento,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fica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obrigado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realizar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todo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qualquer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ato,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bem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como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arcar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custos,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que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fizerem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necessários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(principalmente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assinar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eventuais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documentos)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para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anotação/registro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garantia.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Caso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honre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valor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lance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prazo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condições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previstas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edital,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lance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será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considerado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inválido,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fica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sujeito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às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penalidades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previstas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lei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edital.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hipótese </w:t>
      </w:r>
      <w:proofErr w:type="gramStart"/>
      <w:r w:rsidRPr="00402D23">
        <w:rPr>
          <w:rFonts w:ascii="Times New Roman" w:hAnsi="Times New Roman" w:cs="Times New Roman"/>
          <w:color w:val="000000"/>
          <w:sz w:val="21"/>
          <w:szCs w:val="21"/>
        </w:rPr>
        <w:t>do</w:t>
      </w:r>
      <w:proofErr w:type="gramEnd"/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honrar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pagamento,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serão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sucessivamente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chamados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demais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arrematantes,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pela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ordem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lances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ofertados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(do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maior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para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menor),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quais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terão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mesmo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prazo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condições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acima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para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honrar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valor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lance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ofertado,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sendo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descartados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todos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lances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valor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inferior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mínimo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previsto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edital. </w:t>
      </w:r>
      <w:r w:rsidRPr="00402D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LANCES </w:t>
      </w:r>
      <w:r w:rsidRPr="00402D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PELA </w:t>
      </w:r>
      <w:r w:rsidRPr="00402D23">
        <w:rPr>
          <w:rFonts w:ascii="Times New Roman" w:hAnsi="Times New Roman" w:cs="Times New Roman"/>
          <w:b/>
          <w:color w:val="000000"/>
          <w:sz w:val="21"/>
          <w:szCs w:val="21"/>
        </w:rPr>
        <w:t>INTERNET: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interessados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participar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leilão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poderão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lances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pela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internet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através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d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plataforma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eletrônica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www.mgl.com.br,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para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tanto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deverão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observadas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cumpridas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regras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indicadas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referido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site,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podendo,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posteriormente,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sob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qualquer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hipótese,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alegar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desconhecimento.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modalidade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eletrônica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interessado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deve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efetuar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cad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astro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prévio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site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www.mgl.com.br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para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anuência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às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regras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participação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dispostas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obtenção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“</w:t>
      </w:r>
      <w:proofErr w:type="spellStart"/>
      <w:r w:rsidRPr="00402D23">
        <w:rPr>
          <w:rFonts w:ascii="Times New Roman" w:hAnsi="Times New Roman" w:cs="Times New Roman"/>
          <w:color w:val="000000"/>
          <w:sz w:val="21"/>
          <w:szCs w:val="21"/>
        </w:rPr>
        <w:t>login</w:t>
      </w:r>
      <w:proofErr w:type="spellEnd"/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”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“senha”,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quais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possibilitarão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realização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lances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conformidade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disposições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neste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edital.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lances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oferecidos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pela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internet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garantem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direitos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participante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recusa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leiloeiro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qualquer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ocorrência,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tais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como,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quedas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ou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falhas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sistema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conexão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internet,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linha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telefônica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ou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quaisquer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outras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ocorrências,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posto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que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internet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site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leiloeiro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apenas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facili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tadores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oferta.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optar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esta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forma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participação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leilão,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interessado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assume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riscos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oriundos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falhas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ou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impossibilidades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técnicas,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sendo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cabível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qualquer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reclamação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esse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respeito. </w:t>
      </w:r>
      <w:r w:rsidRPr="00402D23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CONDIÇÕES </w:t>
      </w:r>
      <w:r w:rsidRPr="00402D23">
        <w:rPr>
          <w:rFonts w:ascii="Times New Roman" w:hAnsi="Times New Roman" w:cs="Times New Roman"/>
          <w:b/>
          <w:color w:val="000000"/>
          <w:sz w:val="21"/>
          <w:szCs w:val="21"/>
        </w:rPr>
        <w:t>GERAIS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: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Leiloeiro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Público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Oficial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enquadra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condição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fornecedor,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intermediário,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ou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comerciante,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sendo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mero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mandatário,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ficando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assim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eximido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eventuais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responsabilidades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vícios/defeitos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ocultos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ou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não,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bem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alienado,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como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também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reembolsos,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indenizações,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trocas,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conse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rtos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compensações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financeiras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qualquer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hipótese,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termos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art.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663,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Código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Civil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Brasileiro.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Aperfeiçoada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arrematação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será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expedida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carta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arrematação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ordem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entrega.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bens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serão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entregues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condições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que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encontram,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inexi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stindo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qualquer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espécie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garantia.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Eventuais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débitos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poderão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sub-rogados.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É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facultado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efetuar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pagamentos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ônus/débitos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intuito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agilizar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procedimentos/regularização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bem,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ficando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ciente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que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valores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serão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reembolsados.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Fica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cargo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retirada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transporte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bem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local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onde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encontra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arcando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eventuais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custos.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Caberá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arcar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custos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p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expedição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respectiva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carta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arrematação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e/ou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expedição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mandado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entrega/imissão,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houver.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Caberá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tomar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providências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arcar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custos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para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transferência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propriedade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junto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órgãos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competentes.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assinatura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le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iloeiro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certidão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positiva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suprirá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prevista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para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auto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arrematação.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houver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desistência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após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arrematação,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arrematante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pagará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multa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20%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(vinte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cento)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calculada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sobre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valor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lance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favor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exequente,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caso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que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será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devolvi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comissão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paga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leiloeiro.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executado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poderá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impedir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leiloeiro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ou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representante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legal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vistoriar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fotografar </w:t>
      </w:r>
      <w:proofErr w:type="gramStart"/>
      <w:r w:rsidRPr="00402D23">
        <w:rPr>
          <w:rFonts w:ascii="Times New Roman" w:hAnsi="Times New Roman" w:cs="Times New Roman"/>
          <w:color w:val="000000"/>
          <w:sz w:val="21"/>
          <w:szCs w:val="21"/>
        </w:rPr>
        <w:t>o(</w:t>
      </w:r>
      <w:proofErr w:type="gramEnd"/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s)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bem(</w:t>
      </w:r>
      <w:proofErr w:type="spellStart"/>
      <w:r w:rsidRPr="00402D23">
        <w:rPr>
          <w:rFonts w:ascii="Times New Roman" w:hAnsi="Times New Roman" w:cs="Times New Roman"/>
          <w:color w:val="000000"/>
          <w:sz w:val="21"/>
          <w:szCs w:val="21"/>
        </w:rPr>
        <w:t>ns</w:t>
      </w:r>
      <w:proofErr w:type="spellEnd"/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)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constrito(s),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ficando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desde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já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advertido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que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obstrução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ou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impedimento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constitui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crime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(Art.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330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Código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Pena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l).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leiloeiro,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ocasião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leilão,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fica,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desde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já,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desobrigado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efetuar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leitura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presente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edital,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qual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presume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seja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conhecimento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todos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interessados.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Ficam,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desde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já,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intimadas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as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partes,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os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coproprietários,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os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interessados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e,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principalmente,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os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executados,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credores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hipotecários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ou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>cre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dores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fiduciários,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bem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como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os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respectivos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cônjuges,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se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casados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>forem.</w:t>
      </w: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Requerente: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DAIR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EVANGELISTA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lastRenderedPageBreak/>
        <w:t xml:space="preserve">SILVA.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Advogado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autor: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ELAINE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PATRICIA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SOUSA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OAB: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148682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Requerido: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CELSO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ANTONIO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LEMES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SILVA.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Advogado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réu: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Ana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Lucia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Souza </w:t>
      </w:r>
      <w:proofErr w:type="spellStart"/>
      <w:r w:rsidRPr="00402D23">
        <w:rPr>
          <w:rFonts w:ascii="Times New Roman" w:hAnsi="Times New Roman" w:cs="Times New Roman"/>
          <w:color w:val="000000"/>
          <w:sz w:val="21"/>
          <w:szCs w:val="21"/>
        </w:rPr>
        <w:t>Paolinelli</w:t>
      </w:r>
      <w:proofErr w:type="spellEnd"/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OA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B: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42030</w:t>
      </w:r>
      <w:r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Depositário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HÁ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INFORMAÇÕES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Outro: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ADV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Autor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ANTONIO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FLAVIO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ALMEIDA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SILVA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OAB:154984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Outro: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ADV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Réu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CARLA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REGINA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SANTOS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GOES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-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OAB:181058</w:t>
      </w:r>
      <w:r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Pr="00402D23">
        <w:rPr>
          <w:rFonts w:ascii="Times New Roman" w:hAnsi="Times New Roman" w:cs="Times New Roman"/>
          <w:sz w:val="21"/>
          <w:szCs w:val="21"/>
        </w:rPr>
        <w:t xml:space="preserve">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Caso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exequente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e/ou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executada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sejam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notificados,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cientificados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e/ou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intimados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qualquer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razão,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data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leilão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datas </w:t>
      </w:r>
      <w:proofErr w:type="spellStart"/>
      <w:r w:rsidRPr="00402D23">
        <w:rPr>
          <w:rFonts w:ascii="Times New Roman" w:hAnsi="Times New Roman" w:cs="Times New Roman"/>
          <w:color w:val="000000"/>
          <w:sz w:val="21"/>
          <w:szCs w:val="21"/>
        </w:rPr>
        <w:t>pré</w:t>
      </w:r>
      <w:proofErr w:type="spellEnd"/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-marcadas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que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poderão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realizados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novos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leilões,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caso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haja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licitantes,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valerá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presente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como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edital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in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timação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leilão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conforme </w:t>
      </w:r>
      <w:proofErr w:type="spellStart"/>
      <w:r w:rsidRPr="00402D23">
        <w:rPr>
          <w:rFonts w:ascii="Times New Roman" w:hAnsi="Times New Roman" w:cs="Times New Roman"/>
          <w:color w:val="000000"/>
          <w:sz w:val="21"/>
          <w:szCs w:val="21"/>
        </w:rPr>
        <w:t>Art</w:t>
      </w:r>
      <w:proofErr w:type="spellEnd"/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889§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Único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Novo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CPC.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Leiloeiro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Público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Oficial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enquadra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condição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fornecedor,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intermediário,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ou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comerciante,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sendo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mero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mandatário,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ficando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assim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eximido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eventuais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responsabilidades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vícios/defeitos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oc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ultos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ou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não,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bem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alienado,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como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também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por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reembolsos,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indenizações,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trocas,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consertos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compensações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financeiras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qualquer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hipótese,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termos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art.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663,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Código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Civil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Brasileiro.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Este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edital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está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em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conformidade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com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a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resolução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nº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236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13/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07/2016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CNJ.</w:t>
      </w:r>
      <w:r w:rsidRPr="00402D23">
        <w:rPr>
          <w:rFonts w:ascii="Times New Roman" w:hAnsi="Times New Roman" w:cs="Times New Roman"/>
          <w:sz w:val="21"/>
          <w:szCs w:val="21"/>
        </w:rPr>
        <w:t xml:space="preserve"> </w:t>
      </w:r>
    </w:p>
    <w:p w:rsidR="00402D23" w:rsidRDefault="00402D23" w:rsidP="00402D23">
      <w:pPr>
        <w:widowControl w:val="0"/>
        <w:tabs>
          <w:tab w:val="center" w:pos="455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02D23" w:rsidRDefault="00402D23" w:rsidP="00402D23">
      <w:pPr>
        <w:widowControl w:val="0"/>
        <w:tabs>
          <w:tab w:val="center" w:pos="455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:rsidR="00402D23" w:rsidRDefault="00402D23" w:rsidP="00402D23">
      <w:pPr>
        <w:widowControl w:val="0"/>
        <w:tabs>
          <w:tab w:val="center" w:pos="455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12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de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 xml:space="preserve">março </w:t>
      </w:r>
      <w:r w:rsidRPr="00402D23">
        <w:rPr>
          <w:rFonts w:ascii="Times New Roman" w:hAnsi="Times New Roman" w:cs="Times New Roman"/>
          <w:color w:val="000000"/>
          <w:sz w:val="21"/>
          <w:szCs w:val="21"/>
        </w:rPr>
        <w:t>2024.</w:t>
      </w:r>
    </w:p>
    <w:p w:rsidR="00402D23" w:rsidRDefault="00402D23" w:rsidP="00402D23">
      <w:pPr>
        <w:widowControl w:val="0"/>
        <w:tabs>
          <w:tab w:val="center" w:pos="455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02D23" w:rsidRDefault="00402D23" w:rsidP="00402D23">
      <w:pPr>
        <w:widowControl w:val="0"/>
        <w:tabs>
          <w:tab w:val="center" w:pos="455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000000" w:rsidRPr="00402D23" w:rsidRDefault="00402D23" w:rsidP="00402D23">
      <w:pPr>
        <w:widowControl w:val="0"/>
        <w:tabs>
          <w:tab w:val="center" w:pos="455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LEILOEIRO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PÚBLICO </w:t>
      </w:r>
      <w:r w:rsidRPr="00402D23">
        <w:rPr>
          <w:rFonts w:ascii="Times New Roman" w:hAnsi="Times New Roman" w:cs="Times New Roman"/>
          <w:b/>
          <w:bCs/>
          <w:color w:val="000000"/>
          <w:sz w:val="21"/>
          <w:szCs w:val="21"/>
        </w:rPr>
        <w:t>OFICIAL</w:t>
      </w:r>
    </w:p>
    <w:sectPr w:rsidR="00000000" w:rsidRPr="00402D23" w:rsidSect="00402D23">
      <w:pgSz w:w="11904" w:h="16834" w:code="9"/>
      <w:pgMar w:top="567" w:right="618" w:bottom="425" w:left="85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23"/>
    <w:rsid w:val="0040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7CCE58"/>
  <w14:defaultImageDpi w14:val="0"/>
  <w15:docId w15:val="{65716433-4479-462C-B03B-2347E504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1805</Words>
  <Characters>9747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M27</dc:creator>
  <cp:keywords/>
  <dc:description/>
  <cp:lastModifiedBy>M27</cp:lastModifiedBy>
  <cp:revision>2</cp:revision>
  <dcterms:created xsi:type="dcterms:W3CDTF">2024-03-12T17:59:00Z</dcterms:created>
  <dcterms:modified xsi:type="dcterms:W3CDTF">2024-03-12T17:59:00Z</dcterms:modified>
</cp:coreProperties>
</file>